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480" w:lineRule="auto"/>
        <w:rPr>
          <w:rFonts w:hint="eastAsia" w:ascii="Times New Roman" w:hAnsi="Times New Roman" w:eastAsia="宋体" w:cs="Times New Roman"/>
          <w:b/>
          <w:kern w:val="2"/>
          <w:lang w:val="en-US" w:eastAsia="zh-CN"/>
        </w:rPr>
      </w:pPr>
      <w:r>
        <w:rPr>
          <w:rFonts w:ascii="Times New Roman" w:hAnsi="Times New Roman" w:eastAsiaTheme="minorEastAsia" w:cstheme="minorBidi"/>
          <w:b/>
          <w:kern w:val="2"/>
        </w:rPr>
        <w:t xml:space="preserve">Table S3. </w:t>
      </w:r>
      <w:bookmarkStart w:id="0" w:name="_GoBack"/>
      <w:r>
        <w:rPr>
          <w:rFonts w:ascii="Times New Roman" w:hAnsi="Times New Roman" w:cs="Times New Roman"/>
          <w:b/>
          <w:color w:val="000000"/>
          <w:kern w:val="2"/>
          <w:highlight w:val="yellow"/>
        </w:rPr>
        <w:t>Baseline characteristic</w:t>
      </w:r>
      <w:r>
        <w:rPr>
          <w:rFonts w:ascii="Times New Roman" w:hAnsi="Times New Roman" w:cs="Times New Roman"/>
          <w:b/>
          <w:kern w:val="2"/>
          <w:highlight w:val="yellow"/>
        </w:rPr>
        <w:t xml:space="preserve">s </w:t>
      </w:r>
      <w:r>
        <w:rPr>
          <w:rFonts w:hint="eastAsia" w:ascii="Times New Roman" w:hAnsi="Times New Roman" w:cs="Times New Roman"/>
          <w:b/>
          <w:kern w:val="2"/>
          <w:highlight w:val="yellow"/>
        </w:rPr>
        <w:t>o</w:t>
      </w:r>
      <w:r>
        <w:rPr>
          <w:rFonts w:ascii="Times New Roman" w:hAnsi="Times New Roman" w:cs="Times New Roman"/>
          <w:b/>
          <w:kern w:val="2"/>
          <w:highlight w:val="yellow"/>
        </w:rPr>
        <w:t>f validation-phase patient</w:t>
      </w:r>
      <w:r>
        <w:rPr>
          <w:rFonts w:hint="eastAsia" w:ascii="Times New Roman" w:hAnsi="Times New Roman" w:cs="Times New Roman"/>
          <w:b/>
          <w:kern w:val="2"/>
          <w:highlight w:val="yellow"/>
          <w:lang w:val="en-US" w:eastAsia="zh-CN"/>
        </w:rPr>
        <w:t>s</w:t>
      </w:r>
      <w:bookmarkEnd w:id="0"/>
    </w:p>
    <w:tbl>
      <w:tblPr>
        <w:tblStyle w:val="6"/>
        <w:tblW w:w="935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904"/>
        <w:gridCol w:w="524"/>
        <w:gridCol w:w="935"/>
        <w:gridCol w:w="493"/>
        <w:gridCol w:w="839"/>
        <w:gridCol w:w="277"/>
        <w:gridCol w:w="1173"/>
        <w:gridCol w:w="255"/>
        <w:gridCol w:w="1198"/>
        <w:gridCol w:w="230"/>
        <w:gridCol w:w="8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1741" w:type="dxa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856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Before PSM</w:t>
            </w:r>
          </w:p>
        </w:tc>
        <w:tc>
          <w:tcPr>
            <w:tcW w:w="1116" w:type="dxa"/>
            <w:gridSpan w:val="2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2856" w:type="dxa"/>
            <w:gridSpan w:val="4"/>
            <w:tcBorders>
              <w:top w:val="single" w:color="000000" w:sz="12" w:space="0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After PSM</w:t>
            </w:r>
          </w:p>
        </w:tc>
        <w:tc>
          <w:tcPr>
            <w:tcW w:w="784" w:type="dxa"/>
            <w:vMerge w:val="restart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741" w:type="dxa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 CAD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CAD</w:t>
            </w:r>
          </w:p>
        </w:tc>
        <w:tc>
          <w:tcPr>
            <w:tcW w:w="1116" w:type="dxa"/>
            <w:gridSpan w:val="2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 CAD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CAD</w:t>
            </w:r>
          </w:p>
        </w:tc>
        <w:tc>
          <w:tcPr>
            <w:tcW w:w="784" w:type="dxa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741" w:type="dxa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(n=159)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(n=291)</w:t>
            </w:r>
          </w:p>
        </w:tc>
        <w:tc>
          <w:tcPr>
            <w:tcW w:w="1116" w:type="dxa"/>
            <w:gridSpan w:val="2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(n=153)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(n=157)</w:t>
            </w:r>
          </w:p>
        </w:tc>
        <w:tc>
          <w:tcPr>
            <w:tcW w:w="784" w:type="dxa"/>
            <w:vMerge w:val="continue"/>
            <w:tcBorders>
              <w:top w:val="single" w:color="000000" w:sz="12" w:space="0"/>
              <w:left w:val="single" w:color="FFFFFF" w:sz="8" w:space="0"/>
              <w:bottom w:val="single" w:color="000000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Age (yr)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60.86±11.29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65.60±10.58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0.000***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62.16±10.66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64.70±11.65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0.276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Gender 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(male n (%))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69（43.4）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184 （63.2）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0.000***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69（45.1）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81 (51.6)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0.253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2645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Laboratory data</w:t>
            </w:r>
          </w:p>
        </w:tc>
        <w:tc>
          <w:tcPr>
            <w:tcW w:w="1459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332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50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53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14" w:type="dxa"/>
            <w:gridSpan w:val="2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TC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(mmol/L)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4.38±0.98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4.24±1.05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0.108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4.34±0.88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4.24±0.86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0.619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TG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(mmol/L)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1.63±1.27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1.87±1.34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0.007**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1.74±1.14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1.76±1.36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HDL-C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(mmol/L)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1.22±0.33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1.11±0.34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0.785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1.18±0.32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1.18±0.27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LDL-C</w:t>
            </w:r>
          </w:p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(mmol/L)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2.49±0.73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2.47±0.80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0.003**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2.50±0.70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2.44±0.63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0.334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3169" w:type="dxa"/>
            <w:gridSpan w:val="3"/>
            <w:tcBorders>
              <w:top w:val="single" w:color="FFFFFF" w:sz="8" w:space="0"/>
              <w:left w:val="single" w:color="FFFFFF" w:sz="8" w:space="0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Coronary risk factors n (%)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pStyle w:val="5"/>
              <w:spacing w:before="0" w:beforeAutospacing="0" w:after="0" w:afterAutospacing="0"/>
              <w:rPr>
                <w:rFonts w:hint="eastAsia" w:ascii="Times New Roman" w:hAnsi="Times New Roman" w:cs="Times New Roman"/>
                <w:color w:val="000000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FFFFFF" w:sz="8" w:space="0"/>
              <w:right w:val="single" w:color="FFFFFF" w:sz="8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Hypertension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76（47.8）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182（62.5）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0.003**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76（49.7）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95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60.5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0.068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single" w:color="FFFFFF" w:sz="8" w:space="0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Diabetes</w:t>
            </w:r>
          </w:p>
        </w:tc>
        <w:tc>
          <w:tcPr>
            <w:tcW w:w="1428" w:type="dxa"/>
            <w:gridSpan w:val="2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 (8.9)</w:t>
            </w:r>
          </w:p>
        </w:tc>
        <w:tc>
          <w:tcPr>
            <w:tcW w:w="1428" w:type="dxa"/>
            <w:gridSpan w:val="2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 (22.3)</w:t>
            </w:r>
          </w:p>
        </w:tc>
        <w:tc>
          <w:tcPr>
            <w:tcW w:w="1116" w:type="dxa"/>
            <w:gridSpan w:val="2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0.000***</w:t>
            </w:r>
          </w:p>
        </w:tc>
        <w:tc>
          <w:tcPr>
            <w:tcW w:w="1428" w:type="dxa"/>
            <w:gridSpan w:val="2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 (9.2)</w:t>
            </w:r>
          </w:p>
        </w:tc>
        <w:tc>
          <w:tcPr>
            <w:tcW w:w="1428" w:type="dxa"/>
            <w:gridSpan w:val="2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31 (19.7)</w:t>
            </w:r>
          </w:p>
        </w:tc>
        <w:tc>
          <w:tcPr>
            <w:tcW w:w="784" w:type="dxa"/>
            <w:tcBorders>
              <w:top w:val="single" w:color="FFFFFF" w:sz="8" w:space="0"/>
              <w:left w:val="nil"/>
              <w:bottom w:val="nil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0.010*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741" w:type="dxa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Hyperlipidemia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77</w:t>
            </w:r>
            <w:r>
              <w:rPr>
                <w:rFonts w:ascii="Times New Roman" w:hAnsi="Times New Roman" w:cs="Times New Roman"/>
                <w:color w:val="000000"/>
              </w:rPr>
              <w:t xml:space="preserve"> (48.4)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>129</w:t>
            </w:r>
            <w:r>
              <w:rPr>
                <w:rFonts w:ascii="Times New Roman" w:hAnsi="Times New Roman" w:cs="Times New Roman"/>
                <w:color w:val="000000"/>
              </w:rPr>
              <w:t xml:space="preserve"> (44.3)</w:t>
            </w:r>
          </w:p>
        </w:tc>
        <w:tc>
          <w:tcPr>
            <w:tcW w:w="1116" w:type="dxa"/>
            <w:gridSpan w:val="2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0.472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pStyle w:val="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59 (38.6)</w:t>
            </w:r>
          </w:p>
        </w:tc>
        <w:tc>
          <w:tcPr>
            <w:tcW w:w="1428" w:type="dxa"/>
            <w:gridSpan w:val="2"/>
            <w:tcBorders>
              <w:top w:val="nil"/>
              <w:left w:val="nil"/>
              <w:bottom w:val="single" w:color="000000" w:sz="12" w:space="0"/>
              <w:right w:val="single" w:color="FFFFFF" w:sz="8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 (29.9)</w:t>
            </w:r>
          </w:p>
        </w:tc>
        <w:tc>
          <w:tcPr>
            <w:tcW w:w="78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0.120</w:t>
            </w:r>
          </w:p>
        </w:tc>
      </w:tr>
    </w:tbl>
    <w:p>
      <w:pPr>
        <w:spacing w:line="360" w:lineRule="auto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eastAsia="de-DE" w:bidi="en-US"/>
        </w:rPr>
        <w:t>Values are presented as the mean ± standard deviation or n (%).</w:t>
      </w:r>
    </w:p>
    <w:p>
      <w:pPr>
        <w:pStyle w:val="14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CAD, coronary artery disease; HDL-C, high-density lipoprotein cholesterol; LDL-C, low-density lipoprotein cholesterol; PSM, Propensity Score Matching; TC, total cholesterol; TG, triglyceride; yr, years.</w:t>
      </w:r>
    </w:p>
    <w:p>
      <w:pPr>
        <w:pStyle w:val="14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hint="eastAsia"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 xml:space="preserve"> 0.05,</w:t>
      </w:r>
      <w:r>
        <w:rPr>
          <w:rFonts w:ascii="Times New Roman" w:hAnsi="Times New Roman" w:eastAsia="微软雅黑"/>
          <w:kern w:val="24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**</w:t>
      </w:r>
      <w:r>
        <w:rPr>
          <w:rFonts w:ascii="Times New Roman" w:hAnsi="Times New Roman" w:eastAsia="宋体"/>
          <w:i/>
          <w:sz w:val="24"/>
          <w:szCs w:val="24"/>
        </w:rPr>
        <w:t xml:space="preserve"> P</w:t>
      </w:r>
      <w:r>
        <w:rPr>
          <w:rFonts w:hint="eastAsia"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 xml:space="preserve"> 0.01, and ***</w:t>
      </w:r>
      <w:r>
        <w:rPr>
          <w:rFonts w:ascii="Times New Roman" w:hAnsi="Times New Roman"/>
          <w:i/>
          <w:sz w:val="24"/>
          <w:szCs w:val="24"/>
        </w:rPr>
        <w:t>P</w:t>
      </w:r>
      <w:r>
        <w:rPr>
          <w:rFonts w:hint="eastAsia" w:ascii="Times New Roman" w:hAnsi="Times New Roman"/>
          <w:sz w:val="24"/>
          <w:szCs w:val="24"/>
        </w:rPr>
        <w:t>&lt;</w:t>
      </w:r>
      <w:r>
        <w:rPr>
          <w:rFonts w:ascii="Times New Roman" w:hAnsi="Times New Roman"/>
          <w:sz w:val="24"/>
          <w:szCs w:val="24"/>
        </w:rPr>
        <w:t xml:space="preserve"> 0.001 indicate statistical significance.</w:t>
      </w:r>
    </w:p>
    <w:p>
      <w:pPr>
        <w:jc w:val="left"/>
        <w:rPr>
          <w:rFonts w:ascii="Times New Roman" w:hAnsi="Times New Roman" w:cs="Times New Roman"/>
          <w:i/>
          <w:iCs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1FB"/>
    <w:rsid w:val="000E3656"/>
    <w:rsid w:val="000E6C9A"/>
    <w:rsid w:val="000F0481"/>
    <w:rsid w:val="00315B6F"/>
    <w:rsid w:val="00337A97"/>
    <w:rsid w:val="003B1195"/>
    <w:rsid w:val="0059570A"/>
    <w:rsid w:val="005C791E"/>
    <w:rsid w:val="005E290D"/>
    <w:rsid w:val="006A01FB"/>
    <w:rsid w:val="00715860"/>
    <w:rsid w:val="0086304F"/>
    <w:rsid w:val="00865241"/>
    <w:rsid w:val="00867FD5"/>
    <w:rsid w:val="00945B68"/>
    <w:rsid w:val="00984BE9"/>
    <w:rsid w:val="009B558B"/>
    <w:rsid w:val="009C7EF7"/>
    <w:rsid w:val="009E2F46"/>
    <w:rsid w:val="00A02417"/>
    <w:rsid w:val="00AE3BB8"/>
    <w:rsid w:val="00B573F0"/>
    <w:rsid w:val="00B67B86"/>
    <w:rsid w:val="00BA33D9"/>
    <w:rsid w:val="00CB325E"/>
    <w:rsid w:val="00CE2033"/>
    <w:rsid w:val="00CF0CAF"/>
    <w:rsid w:val="00FB3573"/>
    <w:rsid w:val="00FB4E93"/>
    <w:rsid w:val="2FEC7BDE"/>
    <w:rsid w:val="7A65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semiHidden/>
    <w:unhideWhenUsed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uiPriority w:val="99"/>
    <w:rPr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sz w:val="18"/>
      <w:szCs w:val="18"/>
    </w:rPr>
  </w:style>
  <w:style w:type="paragraph" w:customStyle="1" w:styleId="13">
    <w:name w:val="MDPI_4.1_table_caption"/>
    <w:basedOn w:val="1"/>
    <w:qFormat/>
    <w:uiPriority w:val="0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 w:eastAsia="Times New Roman" w:cs="Times New Roman"/>
      <w:color w:val="000000"/>
      <w:kern w:val="0"/>
      <w:sz w:val="18"/>
      <w:lang w:eastAsia="de-DE" w:bidi="en-US"/>
    </w:rPr>
  </w:style>
  <w:style w:type="paragraph" w:customStyle="1" w:styleId="14">
    <w:name w:val="MDPI_4.3_table_footer"/>
    <w:basedOn w:val="13"/>
    <w:next w:val="1"/>
    <w:qFormat/>
    <w:uiPriority w:val="0"/>
    <w:pPr>
      <w:spacing w:before="0"/>
      <w:ind w:left="0" w:right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175</Words>
  <Characters>1002</Characters>
  <Lines>8</Lines>
  <Paragraphs>2</Paragraphs>
  <TotalTime>102</TotalTime>
  <ScaleCrop>false</ScaleCrop>
  <LinksUpToDate>false</LinksUpToDate>
  <CharactersWithSpaces>1175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2020-02-17T12:59:00Z</dcterms:created>
  <dc:creator>顾 佳仪</dc:creator>
  <cp:lastModifiedBy>gain0</cp:lastModifiedBy>
  <dcterms:modified xsi:type="dcterms:W3CDTF">2020-03-11T09:20:11Z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